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2F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p>
    <w:p w14:paraId="354FBA62"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14:paraId="4EAE105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6B622D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14:paraId="14644DC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708AEC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14:paraId="5326AA5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D61AA7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14:paraId="76D56F6B"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520540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4458469"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14:paraId="29F59C91"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14:paraId="4E843A38"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14:paraId="41BA647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6ADE9B3"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14:paraId="78EB4D25"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14:paraId="75FB6B77"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14:paraId="4956AB2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CF0681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14:paraId="4DD6C0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14:paraId="42A20A84"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D7A44C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14:paraId="36ACF2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23E906D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DB8393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14:paraId="5F77443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7D8131B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14:paraId="605D59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82F2A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4731A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EC12CE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3E4AF5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14:paraId="1726E4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4A1281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42F61F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726B0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24B5E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06AB10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8176C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5994C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51C588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w:t>
      </w:r>
      <w:r>
        <w:rPr>
          <w:rFonts w:ascii="Times New Roman" w:hAnsi="Times New Roman" w:cs="Times New Roman"/>
          <w:sz w:val="24"/>
          <w:szCs w:val="24"/>
        </w:rPr>
        <w:lastRenderedPageBreak/>
        <w:t xml:space="preserve">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B7E2A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2375E8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1321F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AE7F15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5F236A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6CBBA77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61497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w:t>
      </w:r>
      <w:r>
        <w:rPr>
          <w:rFonts w:ascii="Times New Roman" w:hAnsi="Times New Roman" w:cs="Times New Roman"/>
          <w:sz w:val="24"/>
          <w:szCs w:val="24"/>
        </w:rPr>
        <w:lastRenderedPageBreak/>
        <w:t xml:space="preserve">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0EFCAC8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14:paraId="0E747F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655E3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4804D3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C3C66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343289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1D4400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6A99A9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39CA6B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14:paraId="2BB396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14:paraId="2397760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14:paraId="0496E8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14:paraId="2C4FD19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14:paraId="0D29976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14:paraId="0FA13D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14:paraId="37B4D87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14:paraId="2FE217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категория субъекта малого или среднего предпринимательства (микропредприятие, малое </w:t>
      </w:r>
      <w:r>
        <w:rPr>
          <w:rFonts w:ascii="Times New Roman" w:hAnsi="Times New Roman" w:cs="Times New Roman"/>
          <w:sz w:val="24"/>
          <w:szCs w:val="24"/>
        </w:rPr>
        <w:lastRenderedPageBreak/>
        <w:t>предприятие или среднее предприятие);</w:t>
      </w:r>
    </w:p>
    <w:p w14:paraId="0FBB4F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14:paraId="1FE7F0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14:paraId="2005FAA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14:paraId="206D565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14:paraId="1D9655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14:paraId="2B6CE9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14:paraId="0C43EEB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52A90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14:paraId="6D0838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Внесение сведений о юридических лицах и об индивидуальных предпринимателях в </w:t>
      </w:r>
      <w:r>
        <w:rPr>
          <w:rFonts w:ascii="Times New Roman" w:hAnsi="Times New Roman" w:cs="Times New Roman"/>
          <w:sz w:val="24"/>
          <w:szCs w:val="24"/>
        </w:rPr>
        <w:lastRenderedPageBreak/>
        <w:t>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14:paraId="6F69D8F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14:paraId="4AB518B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20827C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14:paraId="48FA872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14:paraId="4E1FFC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w:t>
      </w:r>
      <w:r>
        <w:rPr>
          <w:rFonts w:ascii="Times New Roman" w:hAnsi="Times New Roman" w:cs="Times New Roman"/>
          <w:sz w:val="24"/>
          <w:szCs w:val="24"/>
        </w:rPr>
        <w:lastRenderedPageBreak/>
        <w:t xml:space="preserve">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14:paraId="3C2E19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указанные в пунктах 9 - 11 части 3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14:paraId="4F94048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14:paraId="7C7DC8F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14:paraId="009482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14:paraId="5C718E6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14:paraId="0B7100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14:paraId="0930EA9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14:paraId="34A36F4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w:t>
      </w:r>
      <w:r>
        <w:rPr>
          <w:rFonts w:ascii="Times New Roman" w:hAnsi="Times New Roman" w:cs="Times New Roman"/>
          <w:sz w:val="24"/>
          <w:szCs w:val="24"/>
        </w:rPr>
        <w:lastRenderedPageBreak/>
        <w:t xml:space="preserve">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14:paraId="7CEFDB6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8C06F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298E220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14:paraId="4CBB56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14:paraId="4A04B42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17EFA68"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14:paraId="6F5925E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w:t>
      </w:r>
      <w:r>
        <w:rPr>
          <w:rFonts w:ascii="Times New Roman" w:hAnsi="Times New Roman" w:cs="Times New Roman"/>
          <w:sz w:val="24"/>
          <w:szCs w:val="24"/>
        </w:rPr>
        <w:lastRenderedPageBreak/>
        <w:t xml:space="preserve">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4A0FB24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Сплошные статистические наблюдения за деятельностью субъектов малого и среднего предпринимательства проводятся один раз в пять лет.</w:t>
      </w:r>
    </w:p>
    <w:p w14:paraId="57376A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14:paraId="03F0D0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14:paraId="488293F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473C5D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14:paraId="7878E79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14:paraId="515AB2E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14:paraId="1F8E106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14:paraId="2816FF2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14:paraId="1547519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14:paraId="6C10C5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содействия субъектам малого и среднего предпринимательства в продвижении </w:t>
      </w:r>
      <w:r>
        <w:rPr>
          <w:rFonts w:ascii="Times New Roman" w:hAnsi="Times New Roman" w:cs="Times New Roman"/>
          <w:sz w:val="24"/>
          <w:szCs w:val="24"/>
        </w:rPr>
        <w:lastRenderedPageBreak/>
        <w:t>производимых ими товаров (работ, услуг), результатов интеллектуальной деятельности на рынок Российской Федерации и рынки иностранных государств;</w:t>
      </w:r>
    </w:p>
    <w:p w14:paraId="5A6FBE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14:paraId="0BEB0B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14:paraId="5320B03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14:paraId="281584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5C77BE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14:paraId="78D589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14:paraId="3307E2E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14:paraId="5098091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14:paraId="73A17D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546BFA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32329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14:paraId="5ECCBAE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14:paraId="6F2B12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14:paraId="62641AA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355FC41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14:paraId="35F2D2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14:paraId="3F8F61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7A905B8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14:paraId="0F145C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B23059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14:paraId="299A80F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14:paraId="2752816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33A7DE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14:paraId="15FC863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3B6E06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14:paraId="69CA934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B80BA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47D95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0D6C9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вид, форма и размер предоставленной поддержки;</w:t>
      </w:r>
    </w:p>
    <w:p w14:paraId="5B01E09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14:paraId="7212803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14:paraId="4ACD72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14:paraId="46B465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14:paraId="119A80D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F4E48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14:paraId="292DC8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14:paraId="5C6AF03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14:paraId="0D8D720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65D25E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14:paraId="3E84E0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14:paraId="0AACE03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14:paraId="25223F6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14:paraId="2DE706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2EB33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w:t>
      </w:r>
      <w:r>
        <w:rPr>
          <w:rFonts w:ascii="Times New Roman" w:hAnsi="Times New Roman" w:cs="Times New Roman"/>
          <w:sz w:val="24"/>
          <w:szCs w:val="24"/>
        </w:rPr>
        <w:lastRenderedPageBreak/>
        <w:t>перспективы на основе прогнозов социально-экономического развития Российской Федерации;</w:t>
      </w:r>
    </w:p>
    <w:p w14:paraId="6413BA0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14:paraId="63D422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14:paraId="5C344DD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14:paraId="5D9C27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14:paraId="4AA22C8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14:paraId="4A9361B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31914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14:paraId="4429F8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19292A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14:paraId="5B5BC45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14:paraId="6A888E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13C734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w:t>
      </w:r>
      <w:r>
        <w:rPr>
          <w:rFonts w:ascii="Times New Roman" w:hAnsi="Times New Roman" w:cs="Times New Roman"/>
          <w:sz w:val="24"/>
          <w:szCs w:val="24"/>
        </w:rPr>
        <w:lastRenderedPageBreak/>
        <w:t xml:space="preserve">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5C4825F9"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E5A26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14:paraId="429497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14:paraId="5997E32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14:paraId="32F2675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87397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25935E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14:paraId="219C415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14:paraId="02838A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14:paraId="0B5ED60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504529F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14:paraId="08673F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14:paraId="7BFF32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14:paraId="084B31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14:paraId="47B4845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14:paraId="73467BC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206C67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8F8F9A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14:paraId="528F6D7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3664ABC"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14:paraId="664E017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14:paraId="599AEC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776766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14:paraId="06A900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14:paraId="1C9142F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14:paraId="0BC3E7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образование координационных или совещательных органов в области развития малого и </w:t>
      </w:r>
      <w:r>
        <w:rPr>
          <w:rFonts w:ascii="Times New Roman" w:hAnsi="Times New Roman" w:cs="Times New Roman"/>
          <w:sz w:val="24"/>
          <w:szCs w:val="24"/>
        </w:rPr>
        <w:lastRenderedPageBreak/>
        <w:t>среднего предпринимательства органами местного самоуправления.</w:t>
      </w:r>
    </w:p>
    <w:p w14:paraId="759FD7D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029554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14:paraId="1CB9B24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AF82E3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E11120D"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14:paraId="2FEE470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14:paraId="63289EC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14:paraId="285F349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14:paraId="6770927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14:paraId="64AEC4E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14:paraId="1FC3BE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14:paraId="33771C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14:paraId="7B86E4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14:paraId="00EAE4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14:paraId="4E59C2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14:paraId="648A83A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0E890F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650DB5D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14:paraId="5A059A5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14:paraId="240021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14:paraId="34078B6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07CE13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14:paraId="71D9B8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14:paraId="488EA4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w:t>
      </w:r>
      <w:r>
        <w:rPr>
          <w:rFonts w:ascii="Times New Roman" w:hAnsi="Times New Roman" w:cs="Times New Roman"/>
          <w:sz w:val="24"/>
          <w:szCs w:val="24"/>
        </w:rPr>
        <w:lastRenderedPageBreak/>
        <w:t xml:space="preserve">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23508D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14:paraId="644B0C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E1F4F2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14:paraId="022C4A1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14:paraId="7823DD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301D6B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89662E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14:paraId="4C5DE60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94E82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14:paraId="63FB8C7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447B2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0DA438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w:t>
      </w:r>
      <w:r>
        <w:rPr>
          <w:rFonts w:ascii="Times New Roman" w:hAnsi="Times New Roman" w:cs="Times New Roman"/>
          <w:sz w:val="24"/>
          <w:szCs w:val="24"/>
        </w:rPr>
        <w:lastRenderedPageBreak/>
        <w:t xml:space="preserve">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7016478D"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21C3D9C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14:paraId="718623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21168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w:t>
      </w:r>
      <w:r>
        <w:rPr>
          <w:rFonts w:ascii="Times New Roman" w:hAnsi="Times New Roman" w:cs="Times New Roman"/>
          <w:sz w:val="24"/>
          <w:szCs w:val="24"/>
        </w:rPr>
        <w:lastRenderedPageBreak/>
        <w:t xml:space="preserve">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30DFD32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5B513F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ECB50B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8E4EEA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41A4328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14:paraId="5333C8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14:paraId="04B1E7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w:t>
      </w:r>
      <w:r>
        <w:rPr>
          <w:rFonts w:ascii="Times New Roman" w:hAnsi="Times New Roman" w:cs="Times New Roman"/>
          <w:sz w:val="24"/>
          <w:szCs w:val="24"/>
        </w:rPr>
        <w:lastRenderedPageBreak/>
        <w:t>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38081AD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субъекта Российской Федерации.</w:t>
      </w:r>
    </w:p>
    <w:p w14:paraId="29F96BB7"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14:paraId="60A610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14:paraId="5DCAD0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48B928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14:paraId="0265FD3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DB05DF5"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121149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w:t>
      </w:r>
      <w:r>
        <w:rPr>
          <w:rFonts w:ascii="Times New Roman" w:hAnsi="Times New Roman" w:cs="Times New Roman"/>
          <w:sz w:val="24"/>
          <w:szCs w:val="24"/>
        </w:rPr>
        <w:lastRenderedPageBreak/>
        <w:t>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3C3278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14:paraId="7753340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14:paraId="4E002C3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7ADFA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14:paraId="686DE2E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14:paraId="5AA6523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14:paraId="39ACFE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14:paraId="3CB874E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14:paraId="0B69F8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14:paraId="7B6CF3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w:t>
      </w:r>
      <w:r>
        <w:rPr>
          <w:rFonts w:ascii="Times New Roman" w:hAnsi="Times New Roman" w:cs="Times New Roman"/>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p>
    <w:p w14:paraId="1DB9BCF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14:paraId="7992615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14:paraId="7FADF14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14:paraId="4F0DBEC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14:paraId="5D5DBD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14:paraId="703AC69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14:paraId="19E15D75"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14:paraId="75CB19CF"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14:paraId="0BA9FEE8"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3A4C28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14:paraId="32C884D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w:t>
      </w:r>
      <w:r>
        <w:rPr>
          <w:rFonts w:ascii="Times New Roman" w:hAnsi="Times New Roman" w:cs="Times New Roman"/>
          <w:sz w:val="24"/>
          <w:szCs w:val="24"/>
        </w:rPr>
        <w:lastRenderedPageBreak/>
        <w:t>(финансовой) отчетности либо аудиторской деятельностью, не менее трех лет из последних пяти календарных лет.</w:t>
      </w:r>
    </w:p>
    <w:p w14:paraId="519E3D3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14:paraId="3E9E8D5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14:paraId="63A21F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14:paraId="5DA6D3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14:paraId="64113A1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14:paraId="03EDD767"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66D3E7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14:paraId="38034AD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14:paraId="715A85C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8CBDAB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14:paraId="7F91B49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13CA85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B6724F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F03135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408EB9B"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14:paraId="754389B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w:t>
      </w:r>
      <w:r>
        <w:rPr>
          <w:rFonts w:ascii="Times New Roman" w:hAnsi="Times New Roman" w:cs="Times New Roman"/>
          <w:sz w:val="24"/>
          <w:szCs w:val="24"/>
        </w:rPr>
        <w:lastRenderedPageBreak/>
        <w:t>предпринимательства и организаций, образующих инфраструктуру поддержки субъектов малого и среднего предпринимательства.</w:t>
      </w:r>
    </w:p>
    <w:p w14:paraId="3B0683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3F184E1"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383583E"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14:paraId="40DD3EA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02BA723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45BCECD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14:paraId="7BD5EE4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592347A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397FAE8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w:t>
      </w:r>
      <w:r>
        <w:rPr>
          <w:rFonts w:ascii="Times New Roman" w:hAnsi="Times New Roman" w:cs="Times New Roman"/>
          <w:sz w:val="24"/>
          <w:szCs w:val="24"/>
        </w:rPr>
        <w:lastRenderedPageBreak/>
        <w:t xml:space="preserve">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14:paraId="7258208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14:paraId="39E3C11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717278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4F8C53F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14:paraId="557E4A1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8EDAEB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14:paraId="0153C80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62E1E9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w:t>
      </w:r>
      <w:r>
        <w:rPr>
          <w:rFonts w:ascii="Times New Roman" w:hAnsi="Times New Roman" w:cs="Times New Roman"/>
          <w:sz w:val="24"/>
          <w:szCs w:val="24"/>
        </w:rPr>
        <w:lastRenderedPageBreak/>
        <w:t xml:space="preserve">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32597E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2E4FFC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4DA3B7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1CD601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5909F6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E4FCFD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06E5C30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3778901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273C3E9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14:paraId="4D3ABD5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w:t>
      </w:r>
      <w:r>
        <w:rPr>
          <w:rFonts w:ascii="Times New Roman" w:hAnsi="Times New Roman" w:cs="Times New Roman"/>
          <w:sz w:val="24"/>
          <w:szCs w:val="24"/>
        </w:rPr>
        <w:lastRenderedPageBreak/>
        <w:t xml:space="preserve">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617F78B1"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14:paraId="72460B52"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042D2DA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14:paraId="543CD94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14:paraId="3D6927F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14:paraId="062E92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14:paraId="43B0A6C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AFB5A0A"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14:paraId="47BA167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14:paraId="48FD7F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14:paraId="401B71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14:paraId="77DFDE8C"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269A721"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14:paraId="0A3D8A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14:paraId="75E453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14:paraId="5367415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14:paraId="3B4261B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14:paraId="7CABDC1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14:paraId="6827F935"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0905AC4"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14:paraId="1CF6FC5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14:paraId="4A3BD8C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14:paraId="74F8C44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14:paraId="068DC9A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14:paraId="087DF5FF"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6352E172"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14:paraId="7D9FB9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14:paraId="73AB33B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14:paraId="09ED110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14:paraId="66B265D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14:paraId="64FA13C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14:paraId="68D6240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A3196E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14:paraId="5B7725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14:paraId="04D7937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5D4206F6"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14:paraId="4912026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14:paraId="52F4017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14:paraId="75E9F5D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B894CB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14:paraId="4D50DC0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215C05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14:paraId="07800A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14:paraId="561D662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14:paraId="40E566A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B9FBE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14:paraId="7A66B54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14:paraId="51454E9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w:t>
      </w:r>
      <w:r>
        <w:rPr>
          <w:rFonts w:ascii="Times New Roman" w:hAnsi="Times New Roman" w:cs="Times New Roman"/>
          <w:sz w:val="24"/>
          <w:szCs w:val="24"/>
        </w:rPr>
        <w:lastRenderedPageBreak/>
        <w:t xml:space="preserve">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AE4E2F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69E46EC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7B7AC01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14:paraId="2F28904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14:paraId="423467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14:paraId="6F86071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03CBB1D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872318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FE349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D99192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15664B7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w:t>
      </w:r>
      <w:r>
        <w:rPr>
          <w:rFonts w:ascii="Times New Roman" w:hAnsi="Times New Roman" w:cs="Times New Roman"/>
          <w:sz w:val="24"/>
          <w:szCs w:val="24"/>
        </w:rPr>
        <w:lastRenderedPageBreak/>
        <w:t>расположенными на них объектами недвижимого имущества);</w:t>
      </w:r>
    </w:p>
    <w:p w14:paraId="10695E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14:paraId="356131B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CBE104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52834DD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124EB14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14:paraId="6FF4187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14:paraId="025C1428"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14:paraId="217E048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14:paraId="7A81234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rPr>
          <w:rFonts w:ascii="Times New Roman" w:hAnsi="Times New Roman" w:cs="Times New Roman"/>
          <w:sz w:val="24"/>
          <w:szCs w:val="24"/>
        </w:rPr>
        <w:lastRenderedPageBreak/>
        <w:t>правовыми актами Российской Федерации.</w:t>
      </w:r>
    </w:p>
    <w:p w14:paraId="4734843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14:paraId="44C1D96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14:paraId="5BBEE6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14:paraId="458DE2B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6F40331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14:paraId="0CF4EFA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14:paraId="2B9B45C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7ED057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9B7E28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E79D904" w14:textId="77777777" w:rsidR="00000000" w:rsidRDefault="0000000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14:paraId="638739FB"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55C82F9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27.11.2017 N 356-ФЗ</w:t>
        </w:r>
      </w:hyperlink>
      <w:r>
        <w:rPr>
          <w:rFonts w:ascii="Times New Roman" w:hAnsi="Times New Roman" w:cs="Times New Roman"/>
          <w:sz w:val="24"/>
          <w:szCs w:val="24"/>
        </w:rPr>
        <w:t>)</w:t>
      </w:r>
    </w:p>
    <w:p w14:paraId="7BD7ADA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C2D665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14BBD187"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0461EB2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B8813F6"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6E728C7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3B82E79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27FADD7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5E0F5A7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14:paraId="0E0DD26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14:paraId="434DB773"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7837E3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 xml:space="preserve">от 29.06.2015 N </w:t>
        </w:r>
        <w:r>
          <w:rPr>
            <w:rFonts w:ascii="Times New Roman" w:hAnsi="Times New Roman" w:cs="Times New Roman"/>
            <w:b/>
            <w:bCs/>
            <w:sz w:val="27"/>
            <w:szCs w:val="27"/>
            <w:u w:val="single"/>
          </w:rPr>
          <w:lastRenderedPageBreak/>
          <w:t>156-ФЗ</w:t>
        </w:r>
      </w:hyperlink>
      <w:r>
        <w:rPr>
          <w:rFonts w:ascii="Times New Roman" w:hAnsi="Times New Roman" w:cs="Times New Roman"/>
          <w:b/>
          <w:bCs/>
          <w:sz w:val="27"/>
          <w:szCs w:val="27"/>
        </w:rPr>
        <w:t>)</w:t>
      </w:r>
    </w:p>
    <w:p w14:paraId="2A8CAEE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14:paraId="721DFDD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14:paraId="039F6CCF"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14:paraId="161DFD1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14:paraId="1782540A"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14:paraId="7DDEB57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63E441B0"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14:paraId="46B8E443"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w:t>
      </w:r>
      <w:r>
        <w:rPr>
          <w:rFonts w:ascii="Times New Roman" w:hAnsi="Times New Roman" w:cs="Times New Roman"/>
          <w:sz w:val="24"/>
          <w:szCs w:val="24"/>
        </w:rPr>
        <w:lastRenderedPageBreak/>
        <w:t xml:space="preserve">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14:paraId="3E19CAB0"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E818E70"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14:paraId="4B4249FC"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14:paraId="491D269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14:paraId="7E5DFA64"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14:paraId="765BCD7A"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3AE6CAF7" w14:textId="77777777" w:rsidR="00000000" w:rsidRDefault="00000000">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14:paraId="43053322"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14:paraId="39876B2E"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14:paraId="1B2796A9"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14:paraId="58CB87CB"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13254BA5"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14:paraId="18D3A4B4" w14:textId="77777777" w:rsidR="00000000" w:rsidRDefault="0000000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14:paraId="0A6243DE" w14:textId="77777777" w:rsidR="00000000" w:rsidRDefault="00000000">
      <w:pPr>
        <w:widowControl w:val="0"/>
        <w:autoSpaceDE w:val="0"/>
        <w:autoSpaceDN w:val="0"/>
        <w:adjustRightInd w:val="0"/>
        <w:spacing w:after="0" w:line="240" w:lineRule="auto"/>
        <w:rPr>
          <w:rFonts w:ascii="Times New Roman" w:hAnsi="Times New Roman" w:cs="Times New Roman"/>
          <w:sz w:val="24"/>
          <w:szCs w:val="24"/>
        </w:rPr>
      </w:pPr>
    </w:p>
    <w:p w14:paraId="76D25125"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14:paraId="7D7FECCD" w14:textId="77777777" w:rsidR="00000000"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14:paraId="2FAC781F" w14:textId="77777777" w:rsidR="007B1AD7" w:rsidRDefault="0000000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209-ФЗ</w:t>
      </w:r>
    </w:p>
    <w:sectPr w:rsidR="007B1A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D1"/>
    <w:rsid w:val="007B1AD7"/>
    <w:rsid w:val="00A83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CC88C"/>
  <w14:defaultImageDpi w14:val="0"/>
  <w15:docId w15:val="{C1F0FA77-B714-4A08-8BDA-36C38CD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5" Type="http://schemas.openxmlformats.org/officeDocument/2006/relationships/hyperlink" Target="https://normativ.kontur.ru/document?moduleId=1&amp;documentId=113304#l31"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61" Type="http://schemas.openxmlformats.org/officeDocument/2006/relationships/hyperlink" Target="https://normativ.kontur.ru/document?moduleId=1&amp;documentId=113304#l144" TargetMode="External"/><Relationship Id="rId182"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6" Type="http://schemas.openxmlformats.org/officeDocument/2006/relationships/hyperlink" Target="https://normativ.kontur.ru/document?moduleid=1&amp;documentid=220979#l0" TargetMode="External"/><Relationship Id="rId238" Type="http://schemas.openxmlformats.org/officeDocument/2006/relationships/hyperlink" Target="https://normativ.kontur.ru/document?moduleid=1&amp;documentid=303710#l13" TargetMode="External"/><Relationship Id="rId23" Type="http://schemas.openxmlformats.org/officeDocument/2006/relationships/hyperlink" Target="https://normativ.kontur.ru/document?moduleid=1&amp;documentid=266756#l13"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5" Type="http://schemas.openxmlformats.org/officeDocument/2006/relationships/hyperlink" Target="https://normativ.kontur.ru/document?moduleId=1&amp;documentId=113304#l38"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51" Type="http://schemas.openxmlformats.org/officeDocument/2006/relationships/hyperlink" Target="https://normativ.kontur.ru/document?moduleid=1&amp;documentid=266756#l33"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7" Type="http://schemas.openxmlformats.org/officeDocument/2006/relationships/hyperlink" Target="https://normativ.kontur.ru/document?moduleId=1&amp;documentId=113304#l93" TargetMode="External"/><Relationship Id="rId228" Type="http://schemas.openxmlformats.org/officeDocument/2006/relationships/hyperlink" Target="https://normativ.kontur.ru/document?moduleid=1&amp;documentid=276324#l176"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20" Type="http://schemas.openxmlformats.org/officeDocument/2006/relationships/hyperlink" Target="https://normativ.kontur.ru/document?moduleid=1&amp;documentid=266756#l25" TargetMode="External"/><Relationship Id="rId141" Type="http://schemas.openxmlformats.org/officeDocument/2006/relationships/hyperlink" Target="https://normativ.kontur.ru/document?moduleId=1&amp;documentId=113304#l156" TargetMode="External"/><Relationship Id="rId7" Type="http://schemas.openxmlformats.org/officeDocument/2006/relationships/hyperlink" Target="https://normativ.kontur.ru/document?moduleid=1&amp;documentid=217747#l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8" Type="http://schemas.openxmlformats.org/officeDocument/2006/relationships/hyperlink" Target="https://normativ.kontur.ru/document?moduleid=1&amp;documentid=283185#l0" TargetMode="External"/><Relationship Id="rId239" Type="http://schemas.openxmlformats.org/officeDocument/2006/relationships/hyperlink" Target="https://normativ.kontur.ru/document?moduleid=1&amp;documentid=303710#l13" TargetMode="External"/><Relationship Id="rId250" Type="http://schemas.openxmlformats.org/officeDocument/2006/relationships/hyperlink" Target="https://normativ.kontur.ru/document?moduleid=1&amp;documentid=281276#l35" TargetMode="External"/><Relationship Id="rId24" Type="http://schemas.openxmlformats.org/officeDocument/2006/relationships/hyperlink" Target="https://normativ.kontur.ru/document?moduleid=1&amp;documentid=266756#l13"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31" Type="http://schemas.openxmlformats.org/officeDocument/2006/relationships/hyperlink" Target="https://normativ.kontur.ru/document?moduleid=1&amp;documentid=266756#l29"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240"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8" Type="http://schemas.openxmlformats.org/officeDocument/2006/relationships/hyperlink" Target="https://normativ.kontur.ru/document?moduleid=1&amp;documentid=220768#l0"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219" Type="http://schemas.openxmlformats.org/officeDocument/2006/relationships/hyperlink" Target="https://normativ.kontur.ru/document?moduleid=1&amp;documentid=276324#l176" TargetMode="External"/><Relationship Id="rId230" Type="http://schemas.openxmlformats.org/officeDocument/2006/relationships/hyperlink" Target="https://normativ.kontur.ru/document?moduleid=1&amp;documentid=303710#l23" TargetMode="External"/><Relationship Id="rId251" Type="http://schemas.openxmlformats.org/officeDocument/2006/relationships/hyperlink" Target="https://normativ.kontur.ru/document?moduleid=1&amp;documentid=78522#l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220" Type="http://schemas.openxmlformats.org/officeDocument/2006/relationships/hyperlink" Target="https://normativ.kontur.ru/document?moduleid=1&amp;documentid=276324#l176" TargetMode="External"/><Relationship Id="rId241" Type="http://schemas.openxmlformats.org/officeDocument/2006/relationships/hyperlink" Target="https://normativ.kontur.ru/document?moduleid=1&amp;documentid=303710#l13"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78" Type="http://schemas.openxmlformats.org/officeDocument/2006/relationships/hyperlink" Target="https://normativ.kontur.ru/document?moduleId=1&amp;documentId=113304#l412"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64" Type="http://schemas.openxmlformats.org/officeDocument/2006/relationships/hyperlink" Target="https://normativ.kontur.ru/document?moduleid=1&amp;documentid=139348#l77" TargetMode="External"/><Relationship Id="rId185" Type="http://schemas.openxmlformats.org/officeDocument/2006/relationships/hyperlink" Target="https://normativ.kontur.ru/document?moduleid=1&amp;documentid=216128#l6" TargetMode="External"/><Relationship Id="rId9" Type="http://schemas.openxmlformats.org/officeDocument/2006/relationships/hyperlink" Target="https://normativ.kontur.ru/document?moduleid=1&amp;documentid=217999#l0" TargetMode="External"/><Relationship Id="rId210" Type="http://schemas.openxmlformats.org/officeDocument/2006/relationships/hyperlink" Target="https://normativ.kontur.ru/document?moduleid=1&amp;documentid=283185#l0" TargetMode="Externa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 Id="rId70" Type="http://schemas.openxmlformats.org/officeDocument/2006/relationships/hyperlink" Target="https://normativ.kontur.ru/document?moduleid=1&amp;documentid=283185#l0" TargetMode="External"/><Relationship Id="rId91" Type="http://schemas.openxmlformats.org/officeDocument/2006/relationships/hyperlink" Target="https://normativ.kontur.ru/document?moduleid=1&amp;documentid=281276#l35" TargetMode="External"/><Relationship Id="rId145" Type="http://schemas.openxmlformats.org/officeDocument/2006/relationships/hyperlink" Target="https://normativ.kontur.ru/document?moduleid=1&amp;documentid=276324#l205" TargetMode="External"/><Relationship Id="rId166" Type="http://schemas.openxmlformats.org/officeDocument/2006/relationships/hyperlink" Target="https://normativ.kontur.ru/document?moduleid=1&amp;documentid=139348#l84" TargetMode="External"/><Relationship Id="rId187" Type="http://schemas.openxmlformats.org/officeDocument/2006/relationships/hyperlink" Target="https://normativ.kontur.ru/document?moduleid=1&amp;documentid=216128#l6" TargetMode="External"/><Relationship Id="rId1" Type="http://schemas.openxmlformats.org/officeDocument/2006/relationships/styles" Target="styles.xm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54" Type="http://schemas.openxmlformats.org/officeDocument/2006/relationships/hyperlink" Target="https://normativ.kontur.ru/document?moduleId=1&amp;documentId=113304#l40"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60" Type="http://schemas.openxmlformats.org/officeDocument/2006/relationships/hyperlink" Target="https://normativ.kontur.ru/document?moduleid=1&amp;documentid=281276#l35" TargetMode="External"/><Relationship Id="rId81" Type="http://schemas.openxmlformats.org/officeDocument/2006/relationships/hyperlink" Target="https://normativ.kontur.ru/document?moduleid=1&amp;documentid=283183#l0" TargetMode="External"/><Relationship Id="rId135" Type="http://schemas.openxmlformats.org/officeDocument/2006/relationships/hyperlink" Target="https://normativ.kontur.ru/document?moduleid=1&amp;documentid=215119#l2"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202" Type="http://schemas.openxmlformats.org/officeDocument/2006/relationships/hyperlink" Target="https://normativ.kontur.ru/document?moduleId=1&amp;documentId=113304#l86" TargetMode="External"/><Relationship Id="rId223"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104" Type="http://schemas.openxmlformats.org/officeDocument/2006/relationships/hyperlink" Target="https://normativ.kontur.ru/document?moduleid=1&amp;documentid=266756#l20" TargetMode="External"/><Relationship Id="rId125" Type="http://schemas.openxmlformats.org/officeDocument/2006/relationships/hyperlink" Target="https://normativ.kontur.ru/document?moduleid=1&amp;documentid=266756#l2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213" Type="http://schemas.openxmlformats.org/officeDocument/2006/relationships/hyperlink" Target="https://normativ.kontur.ru/document?moduleid=1&amp;documentid=283185#l43" TargetMode="External"/><Relationship Id="rId234" Type="http://schemas.openxmlformats.org/officeDocument/2006/relationships/hyperlink" Target="https://normativ.kontur.ru/document?moduleid=1&amp;documentid=264423#l0"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40" Type="http://schemas.openxmlformats.org/officeDocument/2006/relationships/hyperlink" Target="https://normativ.kontur.ru/document?moduleid=1&amp;documentid=282852#l0" TargetMode="External"/><Relationship Id="rId115" Type="http://schemas.openxmlformats.org/officeDocument/2006/relationships/hyperlink" Target="https://normativ.kontur.ru/document?moduleid=1&amp;documentid=283185#l0"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5" Type="http://schemas.openxmlformats.org/officeDocument/2006/relationships/hyperlink" Target="https://normativ.kontur.ru/document?moduleid=1&amp;documentid=303710#l13" TargetMode="External"/><Relationship Id="rId30" Type="http://schemas.openxmlformats.org/officeDocument/2006/relationships/hyperlink" Target="https://normativ.kontur.ru/document?moduleid=1&amp;documentid=288882#l174"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189" Type="http://schemas.openxmlformats.org/officeDocument/2006/relationships/hyperlink" Target="https://normativ.kontur.ru/document?moduleId=1&amp;documentId=11330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5" Type="http://schemas.openxmlformats.org/officeDocument/2006/relationships/hyperlink" Target="https://normativ.kontur.ru/document?moduleid=1&amp;documentid=303710#l13" TargetMode="External"/><Relationship Id="rId256" Type="http://schemas.openxmlformats.org/officeDocument/2006/relationships/hyperlink" Target="https://normativ.kontur.ru/document?moduleId=1&amp;documentId=113304#l40"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179" Type="http://schemas.openxmlformats.org/officeDocument/2006/relationships/hyperlink" Target="https://normativ.kontur.ru/document?moduleid=1&amp;documentid=281276#l35"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5" Type="http://schemas.openxmlformats.org/officeDocument/2006/relationships/hyperlink" Target="https://normativ.kontur.ru/document?moduleid=1&amp;documentid=276324#l179" TargetMode="External"/><Relationship Id="rId246" Type="http://schemas.openxmlformats.org/officeDocument/2006/relationships/hyperlink" Target="https://normativ.kontur.ru/document?moduleid=1&amp;documentid=266756#l165"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94" Type="http://schemas.openxmlformats.org/officeDocument/2006/relationships/hyperlink" Target="https://normativ.kontur.ru/document?moduleid=1&amp;documentid=227737#l615" TargetMode="External"/><Relationship Id="rId148" Type="http://schemas.openxmlformats.org/officeDocument/2006/relationships/hyperlink" Target="https://normativ.kontur.ru/document?moduleid=1&amp;documentid=276324#l241" TargetMode="External"/><Relationship Id="rId169" Type="http://schemas.openxmlformats.org/officeDocument/2006/relationships/hyperlink" Target="https://normativ.kontur.ru/document?moduleid=1&amp;documentid=216128#l0" TargetMode="External"/><Relationship Id="rId4" Type="http://schemas.openxmlformats.org/officeDocument/2006/relationships/hyperlink" Target="https://normativ.kontur.ru/document?moduleid=1&amp;documentid=189455#l0" TargetMode="External"/><Relationship Id="rId180" Type="http://schemas.openxmlformats.org/officeDocument/2006/relationships/hyperlink" Target="https://normativ.kontur.ru/document?moduleid=1&amp;documentid=276324#l17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22736</Words>
  <Characters>129596</Characters>
  <Application>Microsoft Office Word</Application>
  <DocSecurity>0</DocSecurity>
  <Lines>1079</Lines>
  <Paragraphs>304</Paragraphs>
  <ScaleCrop>false</ScaleCrop>
  <Company/>
  <LinksUpToDate>false</LinksUpToDate>
  <CharactersWithSpaces>152028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2023-04-21T14:58:00Z</dcterms:created>
  <dcterms:modified xsi:type="dcterms:W3CDTF">2023-04-21T14:58:00Z</dcterms:modified>
</cp:coreProperties>
</file>